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367" w:rsidRPr="00013367" w:rsidRDefault="00013367" w:rsidP="00013367">
      <w:pPr>
        <w:autoSpaceDE w:val="0"/>
        <w:autoSpaceDN w:val="0"/>
        <w:adjustRightInd w:val="0"/>
        <w:rPr>
          <w:rFonts w:cs="ITCGaramondStd-Bk"/>
          <w:sz w:val="32"/>
          <w:szCs w:val="60"/>
        </w:rPr>
      </w:pPr>
      <w:r w:rsidRPr="00013367">
        <w:rPr>
          <w:rFonts w:cs="ITCGaramondStd-Bk"/>
          <w:sz w:val="32"/>
          <w:szCs w:val="60"/>
        </w:rPr>
        <w:t>Chapter 2</w:t>
      </w:r>
    </w:p>
    <w:p w:rsidR="00E77345" w:rsidRPr="00013367" w:rsidRDefault="00013367" w:rsidP="00013367">
      <w:pPr>
        <w:autoSpaceDE w:val="0"/>
        <w:autoSpaceDN w:val="0"/>
        <w:adjustRightInd w:val="0"/>
        <w:rPr>
          <w:rFonts w:cs="ITCGaramondStd-Bk"/>
          <w:sz w:val="32"/>
          <w:szCs w:val="60"/>
        </w:rPr>
      </w:pPr>
      <w:r w:rsidRPr="00013367">
        <w:rPr>
          <w:rFonts w:cs="ITCGaramondStd-Bk"/>
          <w:sz w:val="32"/>
          <w:szCs w:val="60"/>
        </w:rPr>
        <w:t>International Monetary</w:t>
      </w:r>
      <w:r w:rsidRPr="00013367">
        <w:rPr>
          <w:rFonts w:cs="ITCGaramondStd-Bk"/>
          <w:sz w:val="32"/>
          <w:szCs w:val="60"/>
        </w:rPr>
        <w:t xml:space="preserve"> </w:t>
      </w:r>
      <w:r w:rsidRPr="00013367">
        <w:rPr>
          <w:rFonts w:cs="ITCGaramondStd-Bk"/>
          <w:sz w:val="32"/>
          <w:szCs w:val="60"/>
        </w:rPr>
        <w:t>System</w:t>
      </w:r>
    </w:p>
    <w:p w:rsidR="00013367" w:rsidRPr="00013367" w:rsidRDefault="00013367" w:rsidP="00013367">
      <w:pPr>
        <w:autoSpaceDE w:val="0"/>
        <w:autoSpaceDN w:val="0"/>
        <w:adjustRightInd w:val="0"/>
        <w:rPr>
          <w:rFonts w:cs="ITCGaramondStd-Bk"/>
          <w:sz w:val="32"/>
          <w:szCs w:val="60"/>
        </w:rPr>
      </w:pPr>
    </w:p>
    <w:p w:rsidR="00013367" w:rsidRPr="00013367" w:rsidRDefault="00013367" w:rsidP="00013367">
      <w:pPr>
        <w:autoSpaceDE w:val="0"/>
        <w:autoSpaceDN w:val="0"/>
        <w:adjustRightInd w:val="0"/>
        <w:rPr>
          <w:rFonts w:cs="ITCGaramondStd-Bd"/>
          <w:szCs w:val="20"/>
        </w:rPr>
      </w:pPr>
      <w:r w:rsidRPr="00013367">
        <w:rPr>
          <w:rFonts w:cs="ITCGaramondStd-Bd"/>
          <w:szCs w:val="20"/>
        </w:rPr>
        <w:t>Evolution of the International</w:t>
      </w:r>
      <w:r w:rsidRPr="00013367">
        <w:rPr>
          <w:rFonts w:cs="ITCGaramondStd-Bd"/>
          <w:szCs w:val="20"/>
        </w:rPr>
        <w:t xml:space="preserve"> </w:t>
      </w:r>
      <w:r w:rsidRPr="00013367">
        <w:rPr>
          <w:rFonts w:cs="ITCGaramondStd-Bd"/>
          <w:szCs w:val="20"/>
        </w:rPr>
        <w:t>Monetary System</w:t>
      </w:r>
    </w:p>
    <w:p w:rsidR="00013367" w:rsidRPr="00013367" w:rsidRDefault="00013367" w:rsidP="00013367">
      <w:pPr>
        <w:autoSpaceDE w:val="0"/>
        <w:autoSpaceDN w:val="0"/>
        <w:adjustRightInd w:val="0"/>
        <w:rPr>
          <w:rFonts w:cs="ITCGaramondStd-Bd"/>
          <w:szCs w:val="20"/>
        </w:rPr>
      </w:pPr>
      <w:r w:rsidRPr="00013367">
        <w:rPr>
          <w:rFonts w:cs="ITCGaramondStd-Bd"/>
          <w:szCs w:val="20"/>
        </w:rPr>
        <w:t>Bimetallism: Before 1875</w:t>
      </w:r>
    </w:p>
    <w:p w:rsidR="00013367" w:rsidRPr="00013367" w:rsidRDefault="00013367" w:rsidP="00013367">
      <w:pPr>
        <w:autoSpaceDE w:val="0"/>
        <w:autoSpaceDN w:val="0"/>
        <w:adjustRightInd w:val="0"/>
        <w:rPr>
          <w:rFonts w:cs="ITCGaramondStd-Bd"/>
          <w:szCs w:val="20"/>
        </w:rPr>
      </w:pPr>
      <w:r w:rsidRPr="00013367">
        <w:rPr>
          <w:rFonts w:cs="ITCGaramondStd-Bd"/>
          <w:szCs w:val="20"/>
        </w:rPr>
        <w:t>Classical Gold Standard: 1875–1914</w:t>
      </w:r>
    </w:p>
    <w:p w:rsidR="00013367" w:rsidRPr="00013367" w:rsidRDefault="00013367" w:rsidP="00013367">
      <w:pPr>
        <w:autoSpaceDE w:val="0"/>
        <w:autoSpaceDN w:val="0"/>
        <w:adjustRightInd w:val="0"/>
        <w:rPr>
          <w:rFonts w:cs="ITCGaramondStd-Bd"/>
          <w:szCs w:val="20"/>
        </w:rPr>
      </w:pPr>
      <w:r w:rsidRPr="00013367">
        <w:rPr>
          <w:rFonts w:cs="ITCGaramondStd-Bd"/>
          <w:szCs w:val="20"/>
        </w:rPr>
        <w:t>Interwar Period: 1915–1944</w:t>
      </w:r>
    </w:p>
    <w:p w:rsidR="00013367" w:rsidRPr="00013367" w:rsidRDefault="00013367" w:rsidP="00013367">
      <w:pPr>
        <w:autoSpaceDE w:val="0"/>
        <w:autoSpaceDN w:val="0"/>
        <w:adjustRightInd w:val="0"/>
        <w:rPr>
          <w:rFonts w:cs="ITCGaramondStd-Bd"/>
          <w:szCs w:val="20"/>
        </w:rPr>
      </w:pPr>
      <w:r w:rsidRPr="00013367">
        <w:rPr>
          <w:rFonts w:cs="ITCGaramondStd-Bd"/>
          <w:szCs w:val="20"/>
        </w:rPr>
        <w:t>Bretton Woods System: 1945–1972</w:t>
      </w:r>
    </w:p>
    <w:p w:rsidR="00013367" w:rsidRPr="00013367" w:rsidRDefault="00013367" w:rsidP="00013367">
      <w:pPr>
        <w:autoSpaceDE w:val="0"/>
        <w:autoSpaceDN w:val="0"/>
        <w:adjustRightInd w:val="0"/>
        <w:rPr>
          <w:rFonts w:cs="ITCGaramondStd-Bd"/>
          <w:szCs w:val="20"/>
        </w:rPr>
      </w:pPr>
      <w:r w:rsidRPr="00013367">
        <w:rPr>
          <w:rFonts w:cs="ITCGaramondStd-Bd"/>
          <w:szCs w:val="20"/>
        </w:rPr>
        <w:t>The Flexible Exchange Rate Regime:</w:t>
      </w:r>
      <w:r w:rsidRPr="00013367">
        <w:rPr>
          <w:rFonts w:cs="ITCGaramondStd-Bd"/>
          <w:szCs w:val="20"/>
        </w:rPr>
        <w:t xml:space="preserve"> </w:t>
      </w:r>
      <w:r w:rsidRPr="00013367">
        <w:rPr>
          <w:rFonts w:cs="ITCGaramondStd-Bd"/>
          <w:szCs w:val="20"/>
        </w:rPr>
        <w:t>1973–Present</w:t>
      </w:r>
    </w:p>
    <w:p w:rsidR="00013367" w:rsidRPr="00013367" w:rsidRDefault="00013367" w:rsidP="00013367">
      <w:pPr>
        <w:autoSpaceDE w:val="0"/>
        <w:autoSpaceDN w:val="0"/>
        <w:adjustRightInd w:val="0"/>
        <w:rPr>
          <w:rFonts w:cs="ITCGaramondStd-Bd"/>
          <w:szCs w:val="20"/>
        </w:rPr>
      </w:pPr>
      <w:r w:rsidRPr="00013367">
        <w:rPr>
          <w:rFonts w:cs="ITCGaramondStd-Bd"/>
          <w:szCs w:val="20"/>
        </w:rPr>
        <w:t>The Current Exchange Rate Arrangements</w:t>
      </w:r>
    </w:p>
    <w:p w:rsidR="00013367" w:rsidRPr="00013367" w:rsidRDefault="00013367" w:rsidP="00013367">
      <w:pPr>
        <w:autoSpaceDE w:val="0"/>
        <w:autoSpaceDN w:val="0"/>
        <w:adjustRightInd w:val="0"/>
        <w:rPr>
          <w:rFonts w:cs="ITCGaramondStd-Bd"/>
          <w:szCs w:val="20"/>
        </w:rPr>
      </w:pPr>
      <w:r w:rsidRPr="00013367">
        <w:rPr>
          <w:rFonts w:cs="ITCGaramondStd-Bd"/>
          <w:szCs w:val="20"/>
        </w:rPr>
        <w:t>European Monetary System</w:t>
      </w:r>
    </w:p>
    <w:p w:rsidR="00013367" w:rsidRPr="00013367" w:rsidRDefault="00013367" w:rsidP="00013367">
      <w:pPr>
        <w:autoSpaceDE w:val="0"/>
        <w:autoSpaceDN w:val="0"/>
        <w:adjustRightInd w:val="0"/>
        <w:rPr>
          <w:rFonts w:cs="ITCGaramondStd-Bd"/>
          <w:szCs w:val="20"/>
        </w:rPr>
      </w:pPr>
      <w:r w:rsidRPr="00013367">
        <w:rPr>
          <w:rFonts w:cs="ITCGaramondStd-Bd"/>
          <w:szCs w:val="20"/>
        </w:rPr>
        <w:t>The Euro and the European Monetary Union</w:t>
      </w:r>
    </w:p>
    <w:p w:rsidR="00013367" w:rsidRPr="00013367" w:rsidRDefault="00013367" w:rsidP="00013367">
      <w:pPr>
        <w:autoSpaceDE w:val="0"/>
        <w:autoSpaceDN w:val="0"/>
        <w:adjustRightInd w:val="0"/>
        <w:ind w:firstLine="720"/>
        <w:rPr>
          <w:rFonts w:cs="ITCGaramondStd-Bk"/>
          <w:szCs w:val="20"/>
        </w:rPr>
      </w:pPr>
      <w:r w:rsidRPr="00013367">
        <w:rPr>
          <w:rFonts w:cs="ITCGaramondStd-Bk"/>
          <w:szCs w:val="20"/>
        </w:rPr>
        <w:t>A Brief History of the Euro</w:t>
      </w:r>
    </w:p>
    <w:p w:rsidR="00013367" w:rsidRPr="00013367" w:rsidRDefault="00013367" w:rsidP="00013367">
      <w:pPr>
        <w:autoSpaceDE w:val="0"/>
        <w:autoSpaceDN w:val="0"/>
        <w:adjustRightInd w:val="0"/>
        <w:ind w:firstLine="720"/>
        <w:rPr>
          <w:rFonts w:cs="ITCGaramondStd-Bk"/>
          <w:szCs w:val="20"/>
        </w:rPr>
      </w:pPr>
      <w:r w:rsidRPr="00013367">
        <w:rPr>
          <w:rFonts w:cs="ITCGaramondStd-Bk"/>
          <w:szCs w:val="20"/>
        </w:rPr>
        <w:t>What Are the Benefits of Monetary Union?</w:t>
      </w:r>
    </w:p>
    <w:p w:rsidR="00013367" w:rsidRPr="00013367" w:rsidRDefault="00013367" w:rsidP="00013367">
      <w:pPr>
        <w:autoSpaceDE w:val="0"/>
        <w:autoSpaceDN w:val="0"/>
        <w:adjustRightInd w:val="0"/>
        <w:ind w:firstLine="720"/>
        <w:rPr>
          <w:rFonts w:cs="ITCGaramondStd-Bk"/>
          <w:szCs w:val="20"/>
        </w:rPr>
      </w:pPr>
      <w:r w:rsidRPr="00013367">
        <w:rPr>
          <w:rFonts w:cs="ITCGaramondStd-Bk"/>
          <w:szCs w:val="20"/>
        </w:rPr>
        <w:t>Costs of Monetary Union</w:t>
      </w:r>
    </w:p>
    <w:p w:rsidR="00013367" w:rsidRPr="00013367" w:rsidRDefault="00013367" w:rsidP="00013367">
      <w:pPr>
        <w:autoSpaceDE w:val="0"/>
        <w:autoSpaceDN w:val="0"/>
        <w:adjustRightInd w:val="0"/>
        <w:ind w:firstLine="720"/>
        <w:rPr>
          <w:rFonts w:cs="ITCGaramondStd-Bk"/>
          <w:szCs w:val="20"/>
        </w:rPr>
      </w:pPr>
      <w:r w:rsidRPr="00013367">
        <w:rPr>
          <w:rFonts w:cs="ITCGaramondStd-Bk"/>
          <w:szCs w:val="20"/>
        </w:rPr>
        <w:t>Prospects of the Euro: Some Critical Questions</w:t>
      </w:r>
    </w:p>
    <w:p w:rsidR="00013367" w:rsidRPr="00013367" w:rsidRDefault="00013367" w:rsidP="00013367">
      <w:pPr>
        <w:autoSpaceDE w:val="0"/>
        <w:autoSpaceDN w:val="0"/>
        <w:adjustRightInd w:val="0"/>
        <w:rPr>
          <w:rFonts w:cs="ITCGaramondStd-Bd"/>
          <w:szCs w:val="20"/>
        </w:rPr>
      </w:pPr>
      <w:r w:rsidRPr="00013367">
        <w:rPr>
          <w:rFonts w:cs="ITCGaramondStd-Bd"/>
          <w:szCs w:val="20"/>
        </w:rPr>
        <w:t>The Mexican Peso Crisis</w:t>
      </w:r>
    </w:p>
    <w:p w:rsidR="00013367" w:rsidRPr="00013367" w:rsidRDefault="00013367" w:rsidP="00013367">
      <w:pPr>
        <w:autoSpaceDE w:val="0"/>
        <w:autoSpaceDN w:val="0"/>
        <w:adjustRightInd w:val="0"/>
        <w:rPr>
          <w:rFonts w:cs="ITCGaramondStd-Bd"/>
          <w:szCs w:val="20"/>
        </w:rPr>
      </w:pPr>
      <w:r w:rsidRPr="00013367">
        <w:rPr>
          <w:rFonts w:cs="ITCGaramondStd-Bd"/>
          <w:szCs w:val="20"/>
        </w:rPr>
        <w:t>The Asian Currency Crisis</w:t>
      </w:r>
    </w:p>
    <w:p w:rsidR="00013367" w:rsidRPr="00013367" w:rsidRDefault="00013367" w:rsidP="00013367">
      <w:pPr>
        <w:autoSpaceDE w:val="0"/>
        <w:autoSpaceDN w:val="0"/>
        <w:adjustRightInd w:val="0"/>
        <w:ind w:firstLine="720"/>
        <w:rPr>
          <w:rFonts w:cs="ITCGaramondStd-Bk"/>
          <w:szCs w:val="20"/>
        </w:rPr>
      </w:pPr>
      <w:r w:rsidRPr="00013367">
        <w:rPr>
          <w:rFonts w:cs="ITCGaramondStd-Bk"/>
          <w:szCs w:val="20"/>
        </w:rPr>
        <w:t>Origins of the Asian Currency Crisis</w:t>
      </w:r>
    </w:p>
    <w:p w:rsidR="00013367" w:rsidRPr="00013367" w:rsidRDefault="00013367" w:rsidP="00013367">
      <w:pPr>
        <w:autoSpaceDE w:val="0"/>
        <w:autoSpaceDN w:val="0"/>
        <w:adjustRightInd w:val="0"/>
        <w:ind w:firstLine="720"/>
        <w:rPr>
          <w:rFonts w:cs="ITCGaramondStd-Bk"/>
          <w:szCs w:val="20"/>
        </w:rPr>
      </w:pPr>
      <w:r w:rsidRPr="00013367">
        <w:rPr>
          <w:rFonts w:cs="ITCGaramondStd-Bk"/>
          <w:szCs w:val="20"/>
        </w:rPr>
        <w:t>Lessons from the Asian Currency Crisis</w:t>
      </w:r>
    </w:p>
    <w:p w:rsidR="00013367" w:rsidRPr="00013367" w:rsidRDefault="00013367" w:rsidP="00013367">
      <w:pPr>
        <w:autoSpaceDE w:val="0"/>
        <w:autoSpaceDN w:val="0"/>
        <w:adjustRightInd w:val="0"/>
        <w:rPr>
          <w:rFonts w:cs="ITCGaramondStd-Bd"/>
          <w:szCs w:val="20"/>
        </w:rPr>
      </w:pPr>
      <w:r w:rsidRPr="00013367">
        <w:rPr>
          <w:rFonts w:cs="ITCGaramondStd-Bd"/>
          <w:szCs w:val="20"/>
        </w:rPr>
        <w:t>The Argentine Peso Crisis</w:t>
      </w:r>
    </w:p>
    <w:p w:rsidR="00013367" w:rsidRPr="00013367" w:rsidRDefault="00013367" w:rsidP="00013367">
      <w:pPr>
        <w:autoSpaceDE w:val="0"/>
        <w:autoSpaceDN w:val="0"/>
        <w:adjustRightInd w:val="0"/>
        <w:rPr>
          <w:rFonts w:cs="ITCGaramondStd-Bd"/>
          <w:szCs w:val="20"/>
        </w:rPr>
      </w:pPr>
      <w:r w:rsidRPr="00013367">
        <w:rPr>
          <w:rFonts w:cs="ITCGaramondStd-Bd"/>
          <w:szCs w:val="20"/>
        </w:rPr>
        <w:t>Fixed versus Flexible Exchange Rate Regimes</w:t>
      </w:r>
    </w:p>
    <w:p w:rsidR="00013367" w:rsidRPr="00013367" w:rsidRDefault="00013367" w:rsidP="00013367">
      <w:pPr>
        <w:autoSpaceDE w:val="0"/>
        <w:autoSpaceDN w:val="0"/>
        <w:adjustRightInd w:val="0"/>
        <w:rPr>
          <w:rFonts w:cs="ITCGaramondStd-Bd"/>
          <w:szCs w:val="20"/>
        </w:rPr>
      </w:pPr>
      <w:bookmarkStart w:id="0" w:name="_GoBack"/>
      <w:bookmarkEnd w:id="0"/>
    </w:p>
    <w:p w:rsidR="00013367" w:rsidRPr="00013367" w:rsidRDefault="00013367" w:rsidP="00013367">
      <w:pPr>
        <w:autoSpaceDE w:val="0"/>
        <w:autoSpaceDN w:val="0"/>
        <w:adjustRightInd w:val="0"/>
        <w:rPr>
          <w:rFonts w:cs="ITCGaramondStd-Bd"/>
          <w:b/>
          <w:sz w:val="24"/>
          <w:szCs w:val="20"/>
        </w:rPr>
      </w:pPr>
    </w:p>
    <w:p w:rsidR="00013367" w:rsidRPr="00013367" w:rsidRDefault="00013367" w:rsidP="00013367">
      <w:pPr>
        <w:autoSpaceDE w:val="0"/>
        <w:autoSpaceDN w:val="0"/>
        <w:adjustRightInd w:val="0"/>
        <w:rPr>
          <w:rFonts w:cs="ITCGaramondStd-Bd"/>
          <w:b/>
          <w:sz w:val="24"/>
          <w:szCs w:val="20"/>
        </w:rPr>
      </w:pPr>
      <w:r w:rsidRPr="00013367">
        <w:rPr>
          <w:rFonts w:cs="ITCGaramondStd-Bd"/>
          <w:b/>
          <w:sz w:val="24"/>
          <w:szCs w:val="20"/>
        </w:rPr>
        <w:t>Summary</w:t>
      </w:r>
    </w:p>
    <w:p w:rsidR="00013367" w:rsidRDefault="00013367" w:rsidP="00013367">
      <w:pPr>
        <w:autoSpaceDE w:val="0"/>
        <w:autoSpaceDN w:val="0"/>
        <w:adjustRightInd w:val="0"/>
      </w:pPr>
      <w:r w:rsidRPr="00013367">
        <w:t>This chapter provides an overview of the international monetary system, which defines an environment in which multinational corpo</w:t>
      </w:r>
      <w:r>
        <w:t>rations and international inves</w:t>
      </w:r>
      <w:r w:rsidRPr="00013367">
        <w:t xml:space="preserve">tors operate. </w:t>
      </w:r>
    </w:p>
    <w:p w:rsidR="00013367" w:rsidRDefault="00013367" w:rsidP="00013367">
      <w:pPr>
        <w:autoSpaceDE w:val="0"/>
        <w:autoSpaceDN w:val="0"/>
        <w:adjustRightInd w:val="0"/>
      </w:pPr>
    </w:p>
    <w:p w:rsidR="00013367" w:rsidRDefault="00013367" w:rsidP="00013367">
      <w:pPr>
        <w:autoSpaceDE w:val="0"/>
        <w:autoSpaceDN w:val="0"/>
        <w:adjustRightInd w:val="0"/>
      </w:pPr>
      <w:r w:rsidRPr="00013367">
        <w:t xml:space="preserve">1.     The international monetary system can be defined as the institutional framework within which international payments are made, the movements of capital are accommodated, and exchange rates among currencies are determined.  </w:t>
      </w:r>
    </w:p>
    <w:p w:rsidR="00013367" w:rsidRDefault="00013367" w:rsidP="00013367">
      <w:pPr>
        <w:autoSpaceDE w:val="0"/>
        <w:autoSpaceDN w:val="0"/>
        <w:adjustRightInd w:val="0"/>
      </w:pPr>
    </w:p>
    <w:p w:rsidR="00013367" w:rsidRDefault="00013367" w:rsidP="00013367">
      <w:pPr>
        <w:autoSpaceDE w:val="0"/>
        <w:autoSpaceDN w:val="0"/>
        <w:adjustRightInd w:val="0"/>
      </w:pPr>
      <w:r w:rsidRPr="00013367">
        <w:t xml:space="preserve">2.    The international monetary system went through five stages of evolution: (a) bimetallism, (b) classical gold standard, (c) interwar period, (d) Bretton Woods system, and (e) flexible exchange rate regime.  </w:t>
      </w:r>
    </w:p>
    <w:p w:rsidR="00013367" w:rsidRDefault="00013367" w:rsidP="00013367">
      <w:pPr>
        <w:autoSpaceDE w:val="0"/>
        <w:autoSpaceDN w:val="0"/>
        <w:adjustRightInd w:val="0"/>
      </w:pPr>
    </w:p>
    <w:p w:rsidR="00013367" w:rsidRDefault="00013367" w:rsidP="00013367">
      <w:pPr>
        <w:autoSpaceDE w:val="0"/>
        <w:autoSpaceDN w:val="0"/>
        <w:adjustRightInd w:val="0"/>
      </w:pPr>
      <w:r w:rsidRPr="00013367">
        <w:t>3.    The classical gold standard spanned 1875 to 1914. Under the gold standard, the exchange rate between two currencies is determined by the gold contents of the currencies. Balance-of-payments disequilibrium is automatically corrected through the price-specie-flow mechanism. The gold standard still has ardent sup-porters who believe that it provides an effective hedge against price inflation. Under the gold standard, however, the world econ</w:t>
      </w:r>
      <w:r>
        <w:t>omy can be subject to deflation</w:t>
      </w:r>
      <w:r w:rsidRPr="00013367">
        <w:t xml:space="preserve">ary pressure due to the limited supply of monetary gold.  </w:t>
      </w:r>
    </w:p>
    <w:p w:rsidR="00013367" w:rsidRDefault="00013367" w:rsidP="00013367">
      <w:pPr>
        <w:autoSpaceDE w:val="0"/>
        <w:autoSpaceDN w:val="0"/>
        <w:adjustRightInd w:val="0"/>
      </w:pPr>
    </w:p>
    <w:p w:rsidR="00013367" w:rsidRDefault="00013367" w:rsidP="00013367">
      <w:pPr>
        <w:autoSpaceDE w:val="0"/>
        <w:autoSpaceDN w:val="0"/>
        <w:adjustRightInd w:val="0"/>
      </w:pPr>
      <w:r w:rsidRPr="00013367">
        <w:t xml:space="preserve">4.    To prevent the recurrence of economic nationalism with no clear “rules of the game” witnessed during the interwar period, representatives of 44 nations met at Bretton Woods, New Hampshire, in 1944 and </w:t>
      </w:r>
      <w:r>
        <w:t>adopted a new international mon</w:t>
      </w:r>
      <w:r w:rsidRPr="00013367">
        <w:t xml:space="preserve">etary system. Under the Bretton Woods system, each </w:t>
      </w:r>
      <w:r w:rsidRPr="00013367">
        <w:lastRenderedPageBreak/>
        <w:t xml:space="preserve">country established a par value in relation to the U.S. dollar, which was fully convertible to gold. Countries used foreign exchanges, especially the U.S. dollar, as well as gold as international means of payments. The Bretton Woods system was designed to maintain stable exchange rates and economize on gold. The Bretton Woods system eventually collapsed in 1973 mainly because of U.S. domestic inflation and the persistent balance-of-payments deficits.  </w:t>
      </w:r>
    </w:p>
    <w:p w:rsidR="00013367" w:rsidRDefault="00013367" w:rsidP="00013367">
      <w:pPr>
        <w:autoSpaceDE w:val="0"/>
        <w:autoSpaceDN w:val="0"/>
        <w:adjustRightInd w:val="0"/>
      </w:pPr>
    </w:p>
    <w:p w:rsidR="00013367" w:rsidRPr="00013367" w:rsidRDefault="00013367" w:rsidP="00013367">
      <w:pPr>
        <w:autoSpaceDE w:val="0"/>
        <w:autoSpaceDN w:val="0"/>
        <w:adjustRightInd w:val="0"/>
      </w:pPr>
      <w:r w:rsidRPr="00013367">
        <w:t xml:space="preserve">5.    The flexible exchange rate regime that replaced the Bretton Woods system was ratified by the Jamaica Agreement. Following a spectacular rise and fall of the U.S. dollar in the 1980s, major industrial countries agreed to cooperate to achieve greater exchange rate stability. The Louvre </w:t>
      </w:r>
      <w:r>
        <w:t>Accord of 1987 marked the incep</w:t>
      </w:r>
      <w:r w:rsidRPr="00013367">
        <w:t>tion of the managed-float system under which the G-7 countries would jointly intervene in the foreign exchange market to correct over- or undervaluation of currencies.</w:t>
      </w:r>
    </w:p>
    <w:p w:rsidR="00013367" w:rsidRDefault="00013367" w:rsidP="00013367">
      <w:pPr>
        <w:autoSpaceDE w:val="0"/>
        <w:autoSpaceDN w:val="0"/>
        <w:adjustRightInd w:val="0"/>
      </w:pPr>
    </w:p>
    <w:p w:rsidR="00013367" w:rsidRPr="00013367" w:rsidRDefault="00013367" w:rsidP="00013367">
      <w:pPr>
        <w:autoSpaceDE w:val="0"/>
        <w:autoSpaceDN w:val="0"/>
        <w:adjustRightInd w:val="0"/>
      </w:pPr>
      <w:r w:rsidRPr="00013367">
        <w:t>6.    In 1979, the EEC countries launched the European Monetary System (EMS) to establish a “zone of monetary stability” in Europe. The two main instruments of the EMS are the European Currency Unit (E</w:t>
      </w:r>
      <w:r>
        <w:t>CU) and the Exchange Rate Mecha</w:t>
      </w:r>
      <w:r w:rsidRPr="00013367">
        <w:t>nism (ERM). The ECU is a basket currency comprising the currencies of the EMS members and serves as the accounting unit of the EMS. The ERM refers to the procedure by which EMS members collectively manage their exchange rates. The ERM is based on a parity grid that the member countries are required to maintain.</w:t>
      </w:r>
    </w:p>
    <w:p w:rsidR="00013367" w:rsidRDefault="00013367" w:rsidP="00013367">
      <w:pPr>
        <w:autoSpaceDE w:val="0"/>
        <w:autoSpaceDN w:val="0"/>
        <w:adjustRightInd w:val="0"/>
      </w:pPr>
    </w:p>
    <w:p w:rsidR="00013367" w:rsidRDefault="00013367" w:rsidP="00013367">
      <w:pPr>
        <w:autoSpaceDE w:val="0"/>
        <w:autoSpaceDN w:val="0"/>
        <w:adjustRightInd w:val="0"/>
      </w:pPr>
      <w:r w:rsidRPr="00013367">
        <w:t>7.    On January 1, 1999, 11 European countries, including France and Germany, adopted a common currency called the euro. Greece adopted the euro in 2001. Subsequently, five other countries—Cyprus, Malta, Slovakia, Slovenia, and Estonia—adopted the euro. The advent of a single European currency, which may eventually rival the U.S. dollar as a global vehicle currency, will have major implications for the European as well as world economy. Euro zone countries will benefit from reduced transaction costs and the eli</w:t>
      </w:r>
      <w:r>
        <w:t>mination of exchange rate uncer</w:t>
      </w:r>
      <w:r w:rsidRPr="00013367">
        <w:t>tainty. The advent of the euro will also help develop continent</w:t>
      </w:r>
      <w:r>
        <w:t>-</w:t>
      </w:r>
      <w:r w:rsidRPr="00013367">
        <w:t xml:space="preserve">wide capital markets where companies can raise capital at favorable rates.  </w:t>
      </w:r>
    </w:p>
    <w:p w:rsidR="00013367" w:rsidRDefault="00013367" w:rsidP="00013367">
      <w:pPr>
        <w:autoSpaceDE w:val="0"/>
        <w:autoSpaceDN w:val="0"/>
        <w:adjustRightInd w:val="0"/>
      </w:pPr>
    </w:p>
    <w:p w:rsidR="00013367" w:rsidRDefault="00013367" w:rsidP="00013367">
      <w:pPr>
        <w:autoSpaceDE w:val="0"/>
        <w:autoSpaceDN w:val="0"/>
        <w:adjustRightInd w:val="0"/>
      </w:pPr>
      <w:r w:rsidRPr="00013367">
        <w:t>8.    Under the European Monetary Union (EMU), the common monetary policy for the euro zone countries is formulated by the European Central Bank (ECB) located in Frankfurt. The ECB is legally mandated to maintain price stability in Europe. Together with the ECB, the national cent</w:t>
      </w:r>
      <w:r>
        <w:t>ral banks of the euro zone coun</w:t>
      </w:r>
      <w:r w:rsidRPr="00013367">
        <w:t xml:space="preserve">tries form the </w:t>
      </w:r>
      <w:proofErr w:type="spellStart"/>
      <w:r w:rsidRPr="00013367">
        <w:t>Eurosystem</w:t>
      </w:r>
      <w:proofErr w:type="spellEnd"/>
      <w:r w:rsidRPr="00013367">
        <w:t xml:space="preserve">, which is responsible for defining and implementing the common monetary policy for the EMU.  </w:t>
      </w:r>
    </w:p>
    <w:p w:rsidR="00013367" w:rsidRDefault="00013367" w:rsidP="00013367">
      <w:pPr>
        <w:autoSpaceDE w:val="0"/>
        <w:autoSpaceDN w:val="0"/>
        <w:adjustRightInd w:val="0"/>
      </w:pPr>
    </w:p>
    <w:p w:rsidR="00013367" w:rsidRPr="00013367" w:rsidRDefault="00013367" w:rsidP="00013367">
      <w:pPr>
        <w:autoSpaceDE w:val="0"/>
        <w:autoSpaceDN w:val="0"/>
        <w:adjustRightInd w:val="0"/>
      </w:pPr>
      <w:r w:rsidRPr="00013367">
        <w:t>9.    While the core EMU members, including France and Germany, apparently prefer the fixed exchange rate regime, other major countries such as the United States and Japan are willing to live with flexible exchange rates. Under the flexible exchange rate regime, governments can retain policy independence because the external balance will be achieved by the exchange rate adjustments rather than by policy intervention. Exchange rate uncertainty, however, can potentially hamper international trade and investment. The choice between the alternative exchange rate regimes is likely to involve a trade-off between national policy autonomy and international economic integration.</w:t>
      </w:r>
    </w:p>
    <w:sectPr w:rsidR="00013367" w:rsidRPr="000133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ITCGaramondStd-Bk">
    <w:panose1 w:val="00000000000000000000"/>
    <w:charset w:val="00"/>
    <w:family w:val="auto"/>
    <w:notTrueType/>
    <w:pitch w:val="default"/>
    <w:sig w:usb0="00000003" w:usb1="00000000" w:usb2="00000000" w:usb3="00000000" w:csb0="00000001" w:csb1="00000000"/>
  </w:font>
  <w:font w:name="ITCGaramondStd-B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367"/>
    <w:rsid w:val="00013367"/>
    <w:rsid w:val="005C06D9"/>
    <w:rsid w:val="00D0401B"/>
    <w:rsid w:val="00E77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The McGraw-Hill Companies</Company>
  <LinksUpToDate>false</LinksUpToDate>
  <CharactersWithSpaces>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Bathurst, Noelle</dc:creator>
  <cp:lastModifiedBy>Bathurst, Noelle</cp:lastModifiedBy>
  <cp:revision>1</cp:revision>
  <dcterms:created xsi:type="dcterms:W3CDTF">2014-08-18T15:53:00Z</dcterms:created>
  <dcterms:modified xsi:type="dcterms:W3CDTF">2014-08-18T15:57:00Z</dcterms:modified>
</cp:coreProperties>
</file>